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DC631" w14:textId="29D958FD" w:rsidR="0031296A" w:rsidRDefault="0031296A" w:rsidP="0031296A">
      <w:pPr>
        <w:pStyle w:val="14bldcentr"/>
        <w:rPr>
          <w:rFonts w:cs="Arial"/>
          <w:bCs w:val="0"/>
          <w:sz w:val="22"/>
          <w:szCs w:val="22"/>
        </w:rPr>
      </w:pPr>
      <w:r w:rsidRPr="005A64B6">
        <w:rPr>
          <w:rFonts w:cs="Arial"/>
          <w:bCs w:val="0"/>
          <w:sz w:val="22"/>
          <w:szCs w:val="22"/>
        </w:rPr>
        <w:t xml:space="preserve">Form </w:t>
      </w:r>
      <w:r w:rsidR="00B15CB3">
        <w:rPr>
          <w:rFonts w:cs="Arial"/>
          <w:bCs w:val="0"/>
          <w:sz w:val="22"/>
          <w:szCs w:val="22"/>
        </w:rPr>
        <w:t>C</w:t>
      </w:r>
    </w:p>
    <w:p w14:paraId="27E922B7" w14:textId="77777777" w:rsidR="000A38F0" w:rsidRPr="005A64B6" w:rsidRDefault="000A38F0" w:rsidP="0031296A">
      <w:pPr>
        <w:pStyle w:val="14bldcentr"/>
        <w:rPr>
          <w:rFonts w:cs="Arial"/>
          <w:bCs w:val="0"/>
          <w:sz w:val="22"/>
          <w:szCs w:val="22"/>
        </w:rPr>
      </w:pPr>
    </w:p>
    <w:p w14:paraId="35E582F3" w14:textId="77777777" w:rsidR="0031296A" w:rsidRPr="005A64B6" w:rsidRDefault="006D2230" w:rsidP="003129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Project </w:t>
      </w:r>
      <w:r w:rsidR="0031296A" w:rsidRPr="005A64B6">
        <w:rPr>
          <w:rFonts w:ascii="Arial" w:hAnsi="Arial" w:cs="Arial"/>
          <w:b/>
          <w:bCs/>
        </w:rPr>
        <w:t>Rates</w:t>
      </w:r>
    </w:p>
    <w:p w14:paraId="40DD6E28" w14:textId="10648598" w:rsidR="0031296A" w:rsidRDefault="0031296A" w:rsidP="0031296A">
      <w:pPr>
        <w:jc w:val="center"/>
        <w:rPr>
          <w:rFonts w:ascii="Arial" w:hAnsi="Arial" w:cs="Arial"/>
          <w:b/>
          <w:bCs/>
        </w:rPr>
      </w:pPr>
      <w:r w:rsidRPr="005A64B6">
        <w:rPr>
          <w:rFonts w:ascii="Arial" w:hAnsi="Arial" w:cs="Arial"/>
          <w:b/>
          <w:bCs/>
        </w:rPr>
        <w:t xml:space="preserve">Request for Proposal </w:t>
      </w:r>
      <w:r w:rsidR="0096738F">
        <w:rPr>
          <w:rFonts w:ascii="Arial" w:hAnsi="Arial" w:cs="Arial"/>
          <w:b/>
          <w:bCs/>
        </w:rPr>
        <w:t xml:space="preserve">5805 </w:t>
      </w:r>
      <w:bookmarkStart w:id="0" w:name="_GoBack"/>
      <w:bookmarkEnd w:id="0"/>
      <w:r w:rsidRPr="005A64B6">
        <w:rPr>
          <w:rFonts w:ascii="Arial" w:hAnsi="Arial" w:cs="Arial"/>
          <w:b/>
          <w:bCs/>
        </w:rPr>
        <w:t>Z1</w:t>
      </w:r>
    </w:p>
    <w:p w14:paraId="1F6F172C" w14:textId="03D8C81B" w:rsidR="00E3448D" w:rsidRDefault="00E3448D" w:rsidP="0031296A">
      <w:pPr>
        <w:jc w:val="center"/>
        <w:rPr>
          <w:rFonts w:ascii="Arial" w:hAnsi="Arial" w:cs="Arial"/>
          <w:b/>
          <w:bCs/>
        </w:rPr>
      </w:pPr>
    </w:p>
    <w:p w14:paraId="2E817479" w14:textId="1FB16FF6" w:rsidR="00E3448D" w:rsidRPr="005A64B6" w:rsidRDefault="00E3448D" w:rsidP="003129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Bidder Name: ________________________________________________________________</w:t>
      </w:r>
    </w:p>
    <w:p w14:paraId="09D7D21F" w14:textId="61CA0200" w:rsidR="0031296A" w:rsidRPr="005A64B6" w:rsidRDefault="0031296A" w:rsidP="0031296A">
      <w:pPr>
        <w:pStyle w:val="Level1Body"/>
        <w:jc w:val="left"/>
        <w:rPr>
          <w:rFonts w:cs="Arial"/>
          <w:szCs w:val="22"/>
        </w:rPr>
      </w:pPr>
      <w:r w:rsidRPr="005A64B6">
        <w:rPr>
          <w:rFonts w:cs="Arial"/>
          <w:szCs w:val="22"/>
        </w:rPr>
        <w:t>Please see Change Management as identified in Section V.</w:t>
      </w:r>
      <w:r w:rsidR="00571C94">
        <w:rPr>
          <w:rFonts w:cs="Arial"/>
          <w:szCs w:val="22"/>
        </w:rPr>
        <w:t xml:space="preserve"> Project Description and Scope of Work, </w:t>
      </w:r>
      <w:r w:rsidR="00051795">
        <w:rPr>
          <w:rFonts w:cs="Arial"/>
          <w:szCs w:val="22"/>
        </w:rPr>
        <w:t>F</w:t>
      </w:r>
      <w:r w:rsidR="00C8183A">
        <w:rPr>
          <w:rFonts w:cs="Arial"/>
          <w:szCs w:val="22"/>
        </w:rPr>
        <w:t>.</w:t>
      </w:r>
      <w:r w:rsidRPr="005A64B6">
        <w:rPr>
          <w:rFonts w:cs="Arial"/>
          <w:szCs w:val="22"/>
        </w:rPr>
        <w:t xml:space="preserve"> </w:t>
      </w:r>
      <w:r w:rsidR="00DF38BD">
        <w:rPr>
          <w:rFonts w:cs="Arial"/>
          <w:szCs w:val="22"/>
        </w:rPr>
        <w:t>Change Management</w:t>
      </w:r>
      <w:r w:rsidR="00571C94">
        <w:rPr>
          <w:rFonts w:cs="Arial"/>
          <w:szCs w:val="22"/>
        </w:rPr>
        <w:t>,</w:t>
      </w:r>
      <w:r w:rsidR="00DF38BD">
        <w:rPr>
          <w:rFonts w:cs="Arial"/>
          <w:szCs w:val="22"/>
        </w:rPr>
        <w:t xml:space="preserve"> </w:t>
      </w:r>
      <w:r w:rsidR="00E92E9C">
        <w:rPr>
          <w:rFonts w:cs="Arial"/>
          <w:szCs w:val="22"/>
        </w:rPr>
        <w:t xml:space="preserve">of </w:t>
      </w:r>
      <w:r w:rsidRPr="005A64B6">
        <w:rPr>
          <w:rFonts w:cs="Arial"/>
          <w:szCs w:val="22"/>
        </w:rPr>
        <w:t>the RFP. These rates will only be used in the context of that section.</w:t>
      </w:r>
    </w:p>
    <w:p w14:paraId="37A49DB8" w14:textId="77777777" w:rsidR="005A64B6" w:rsidRDefault="005A64B6" w:rsidP="005A64B6">
      <w:pPr>
        <w:pStyle w:val="Level3Body"/>
        <w:ind w:left="0"/>
      </w:pPr>
    </w:p>
    <w:p w14:paraId="414366FF" w14:textId="64C63A1E" w:rsidR="005A64B6" w:rsidRDefault="005A64B6" w:rsidP="005A64B6">
      <w:pPr>
        <w:pStyle w:val="Level3Body"/>
        <w:ind w:left="0"/>
      </w:pPr>
      <w:r w:rsidRPr="002A7159">
        <w:t>This RFP is for service</w:t>
      </w:r>
      <w:r w:rsidR="00040A88">
        <w:t>s</w:t>
      </w:r>
      <w:r w:rsidRPr="002A7159">
        <w:t xml:space="preserve"> that </w:t>
      </w:r>
      <w:r w:rsidR="00040A88">
        <w:t>are</w:t>
      </w:r>
      <w:r w:rsidRPr="002A7159">
        <w:t xml:space="preserve"> dynamic in nature. As such, there will be natural project dynamics built into the process as well as outside change management that will need to be addressed. </w:t>
      </w:r>
    </w:p>
    <w:p w14:paraId="51D32598" w14:textId="77777777" w:rsidR="005A64B6" w:rsidRDefault="005A64B6" w:rsidP="005A64B6">
      <w:pPr>
        <w:pStyle w:val="Level4"/>
        <w:numPr>
          <w:ilvl w:val="0"/>
          <w:numId w:val="0"/>
        </w:numPr>
        <w:tabs>
          <w:tab w:val="left" w:pos="720"/>
        </w:tabs>
        <w:rPr>
          <w:bCs/>
        </w:rPr>
      </w:pPr>
    </w:p>
    <w:p w14:paraId="2C5613B5" w14:textId="49D34B58" w:rsidR="005A64B6" w:rsidRDefault="005A64B6" w:rsidP="005A64B6">
      <w:pPr>
        <w:pStyle w:val="Level4Body"/>
        <w:ind w:left="0"/>
      </w:pPr>
      <w:r>
        <w:t xml:space="preserve">There may arise from time to time a need for work not originally delineated in this RFP but considered within the scope of work as it relates to </w:t>
      </w:r>
      <w:r w:rsidR="00DF38BD">
        <w:t>statewide drug disposal project including consumer, community, and pharmacist education</w:t>
      </w:r>
      <w:r>
        <w:t xml:space="preserve">. </w:t>
      </w:r>
      <w:r w:rsidR="00B15CB3" w:rsidRPr="00914FC8">
        <w:t>This additional work may stem from legislative mandates, emerging technologies, and/or secondary research not otherwise addr</w:t>
      </w:r>
      <w:r w:rsidR="00B15CB3">
        <w:t xml:space="preserve">essed in Section V. </w:t>
      </w:r>
      <w:r w:rsidR="00051795">
        <w:t>C</w:t>
      </w:r>
      <w:r w:rsidR="00B15CB3">
        <w:t xml:space="preserve">. Scope of </w:t>
      </w:r>
      <w:r w:rsidR="00B15CB3" w:rsidRPr="00914FC8">
        <w:t xml:space="preserve">Work </w:t>
      </w:r>
      <w:r>
        <w:t>in this RFP</w:t>
      </w:r>
      <w:r w:rsidR="00040A88">
        <w:t xml:space="preserve"> or known at the time this RFP was issued</w:t>
      </w:r>
      <w:r>
        <w:t xml:space="preserve">. </w:t>
      </w:r>
    </w:p>
    <w:p w14:paraId="7D3ED846" w14:textId="77777777" w:rsidR="005A64B6" w:rsidRDefault="005A64B6" w:rsidP="005A64B6">
      <w:pPr>
        <w:pStyle w:val="Level3"/>
        <w:numPr>
          <w:ilvl w:val="0"/>
          <w:numId w:val="0"/>
        </w:numPr>
      </w:pPr>
    </w:p>
    <w:p w14:paraId="6EFBE73E" w14:textId="46D85971" w:rsidR="0033327E" w:rsidRDefault="0033327E" w:rsidP="0033327E">
      <w:pPr>
        <w:rPr>
          <w:rFonts w:ascii="Arial" w:hAnsi="Arial"/>
          <w:bCs/>
        </w:rPr>
      </w:pPr>
      <w:r w:rsidRPr="00C8183A">
        <w:rPr>
          <w:rFonts w:ascii="Arial" w:hAnsi="Arial"/>
          <w:bCs/>
        </w:rPr>
        <w:t>Price</w:t>
      </w:r>
      <w:r w:rsidR="00C8183A" w:rsidRPr="00C8183A">
        <w:rPr>
          <w:rFonts w:ascii="Arial" w:hAnsi="Arial"/>
          <w:bCs/>
        </w:rPr>
        <w:t xml:space="preserve">s </w:t>
      </w:r>
      <w:r w:rsidRPr="00C8183A">
        <w:rPr>
          <w:rFonts w:ascii="Arial" w:hAnsi="Arial"/>
          <w:bCs/>
        </w:rPr>
        <w:t xml:space="preserve">quoted </w:t>
      </w:r>
      <w:r w:rsidR="00C8183A" w:rsidRPr="00C8183A">
        <w:rPr>
          <w:rFonts w:ascii="Arial" w:hAnsi="Arial" w:cs="Arial"/>
        </w:rPr>
        <w:t>shall remain fixed</w:t>
      </w:r>
      <w:r w:rsidR="00550E40">
        <w:rPr>
          <w:rFonts w:ascii="Arial" w:hAnsi="Arial" w:cs="Arial"/>
        </w:rPr>
        <w:t xml:space="preserve"> for the entire contract period.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2456"/>
        <w:gridCol w:w="2328"/>
      </w:tblGrid>
      <w:tr w:rsidR="00B25051" w:rsidRPr="005C2E90" w14:paraId="4A0D3934" w14:textId="77777777" w:rsidTr="00FE22A0">
        <w:trPr>
          <w:trHeight w:val="638"/>
        </w:trPr>
        <w:tc>
          <w:tcPr>
            <w:tcW w:w="4792" w:type="dxa"/>
            <w:shd w:val="clear" w:color="auto" w:fill="D9D9D9"/>
          </w:tcPr>
          <w:p w14:paraId="50E3326E" w14:textId="77777777" w:rsidR="00B25051" w:rsidRPr="005C2E90" w:rsidRDefault="00B25051" w:rsidP="00147AFE">
            <w:pPr>
              <w:rPr>
                <w:rFonts w:eastAsia="Calibri"/>
              </w:rPr>
            </w:pPr>
            <w:r w:rsidRPr="005C2E90">
              <w:rPr>
                <w:rFonts w:eastAsia="Calibri"/>
              </w:rPr>
              <w:t>Job Title</w:t>
            </w:r>
            <w:r w:rsidR="00147AFE">
              <w:rPr>
                <w:rFonts w:eastAsia="Calibri"/>
              </w:rPr>
              <w:t xml:space="preserve"> and/or </w:t>
            </w:r>
            <w:r>
              <w:rPr>
                <w:rFonts w:eastAsia="Calibri"/>
              </w:rPr>
              <w:t>Service</w:t>
            </w:r>
          </w:p>
        </w:tc>
        <w:tc>
          <w:tcPr>
            <w:tcW w:w="2456" w:type="dxa"/>
            <w:shd w:val="clear" w:color="auto" w:fill="D9D9D9"/>
            <w:vAlign w:val="center"/>
          </w:tcPr>
          <w:p w14:paraId="37127802" w14:textId="06D1402B" w:rsidR="00B25051" w:rsidRPr="005C2E90" w:rsidRDefault="00C8183A" w:rsidP="00FE2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Unit of Measure (Hourly, unit, placement, etc.)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5A92BA98" w14:textId="24975A29" w:rsidR="00B25051" w:rsidRDefault="00C8183A" w:rsidP="00FE22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Rate</w:t>
            </w:r>
          </w:p>
        </w:tc>
      </w:tr>
      <w:tr w:rsidR="00B25051" w:rsidRPr="005C2E90" w14:paraId="558DE325" w14:textId="77777777" w:rsidTr="00B25051">
        <w:tc>
          <w:tcPr>
            <w:tcW w:w="4792" w:type="dxa"/>
            <w:shd w:val="clear" w:color="auto" w:fill="auto"/>
          </w:tcPr>
          <w:p w14:paraId="78584D83" w14:textId="68FA80DD" w:rsidR="00B25051" w:rsidRPr="005C2E90" w:rsidRDefault="00B25051" w:rsidP="00DF38BD">
            <w:pPr>
              <w:rPr>
                <w:rFonts w:eastAsia="Calibri"/>
              </w:rPr>
            </w:pPr>
            <w:r w:rsidRPr="005C2E90">
              <w:rPr>
                <w:rFonts w:eastAsia="Calibri"/>
              </w:rPr>
              <w:t xml:space="preserve">Example: </w:t>
            </w:r>
            <w:r w:rsidR="00DF38BD">
              <w:rPr>
                <w:rFonts w:eastAsia="Calibri"/>
                <w:i/>
              </w:rPr>
              <w:t>Project Management</w:t>
            </w:r>
          </w:p>
        </w:tc>
        <w:tc>
          <w:tcPr>
            <w:tcW w:w="2456" w:type="dxa"/>
            <w:shd w:val="clear" w:color="auto" w:fill="auto"/>
          </w:tcPr>
          <w:p w14:paraId="6EA2A1AF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7021A398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  <w:tr w:rsidR="00B25051" w:rsidRPr="005C2E90" w14:paraId="54B88ED5" w14:textId="77777777" w:rsidTr="00B25051">
        <w:tc>
          <w:tcPr>
            <w:tcW w:w="4792" w:type="dxa"/>
            <w:shd w:val="clear" w:color="auto" w:fill="auto"/>
          </w:tcPr>
          <w:p w14:paraId="3F4FF60E" w14:textId="56ED4EF2" w:rsidR="00B25051" w:rsidRPr="005C2E90" w:rsidRDefault="00B25051" w:rsidP="00C8183A">
            <w:pPr>
              <w:rPr>
                <w:rFonts w:eastAsia="Calibri"/>
              </w:rPr>
            </w:pPr>
          </w:p>
        </w:tc>
        <w:tc>
          <w:tcPr>
            <w:tcW w:w="2456" w:type="dxa"/>
            <w:shd w:val="clear" w:color="auto" w:fill="auto"/>
          </w:tcPr>
          <w:p w14:paraId="799F5B56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717FF3CA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  <w:tr w:rsidR="00B25051" w:rsidRPr="005C2E90" w14:paraId="4374FC6E" w14:textId="77777777" w:rsidTr="00B25051">
        <w:tc>
          <w:tcPr>
            <w:tcW w:w="4792" w:type="dxa"/>
            <w:shd w:val="clear" w:color="auto" w:fill="auto"/>
          </w:tcPr>
          <w:p w14:paraId="474C645C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456" w:type="dxa"/>
            <w:shd w:val="clear" w:color="auto" w:fill="auto"/>
          </w:tcPr>
          <w:p w14:paraId="58B2F53D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6476FA80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  <w:tr w:rsidR="00B25051" w:rsidRPr="005C2E90" w14:paraId="1CD2599F" w14:textId="77777777" w:rsidTr="00B25051">
        <w:tc>
          <w:tcPr>
            <w:tcW w:w="4792" w:type="dxa"/>
            <w:shd w:val="clear" w:color="auto" w:fill="auto"/>
          </w:tcPr>
          <w:p w14:paraId="7A04F26E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456" w:type="dxa"/>
            <w:shd w:val="clear" w:color="auto" w:fill="auto"/>
          </w:tcPr>
          <w:p w14:paraId="2AD56A70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5861038F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  <w:tr w:rsidR="00B25051" w:rsidRPr="005C2E90" w14:paraId="311CEB27" w14:textId="77777777" w:rsidTr="00B25051">
        <w:tc>
          <w:tcPr>
            <w:tcW w:w="4792" w:type="dxa"/>
            <w:shd w:val="clear" w:color="auto" w:fill="auto"/>
          </w:tcPr>
          <w:p w14:paraId="4CC4E5FA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456" w:type="dxa"/>
            <w:shd w:val="clear" w:color="auto" w:fill="auto"/>
          </w:tcPr>
          <w:p w14:paraId="38B79105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7543478D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  <w:tr w:rsidR="00B25051" w:rsidRPr="005C2E90" w14:paraId="6E1B81E4" w14:textId="77777777" w:rsidTr="00B25051">
        <w:tc>
          <w:tcPr>
            <w:tcW w:w="4792" w:type="dxa"/>
            <w:shd w:val="clear" w:color="auto" w:fill="auto"/>
          </w:tcPr>
          <w:p w14:paraId="3D76059E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456" w:type="dxa"/>
            <w:shd w:val="clear" w:color="auto" w:fill="auto"/>
          </w:tcPr>
          <w:p w14:paraId="73C25F0E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  <w:tc>
          <w:tcPr>
            <w:tcW w:w="2328" w:type="dxa"/>
          </w:tcPr>
          <w:p w14:paraId="02C58211" w14:textId="77777777" w:rsidR="00B25051" w:rsidRPr="005C2E90" w:rsidRDefault="00B25051" w:rsidP="007D61AB">
            <w:pPr>
              <w:rPr>
                <w:rFonts w:eastAsia="Calibri"/>
              </w:rPr>
            </w:pPr>
          </w:p>
        </w:tc>
      </w:tr>
    </w:tbl>
    <w:p w14:paraId="3521DD5D" w14:textId="77777777" w:rsidR="00B566EE" w:rsidRDefault="00B566EE"/>
    <w:sectPr w:rsidR="00B5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4A7"/>
    <w:multiLevelType w:val="multilevel"/>
    <w:tmpl w:val="4D52DA4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C7F3C65"/>
    <w:multiLevelType w:val="hybridMultilevel"/>
    <w:tmpl w:val="B0B6EDE2"/>
    <w:lvl w:ilvl="0" w:tplc="B71E930C">
      <w:start w:val="1"/>
      <w:numFmt w:val="lowerLetter"/>
      <w:pStyle w:val="TOC3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A"/>
    <w:rsid w:val="00040A88"/>
    <w:rsid w:val="000419FC"/>
    <w:rsid w:val="00051795"/>
    <w:rsid w:val="000942AB"/>
    <w:rsid w:val="000A38F0"/>
    <w:rsid w:val="00143FAC"/>
    <w:rsid w:val="00147AFE"/>
    <w:rsid w:val="002C6A52"/>
    <w:rsid w:val="0031296A"/>
    <w:rsid w:val="0033327E"/>
    <w:rsid w:val="0041445B"/>
    <w:rsid w:val="00550E40"/>
    <w:rsid w:val="00571C94"/>
    <w:rsid w:val="005A64B6"/>
    <w:rsid w:val="005E5754"/>
    <w:rsid w:val="00612266"/>
    <w:rsid w:val="006D2230"/>
    <w:rsid w:val="00746298"/>
    <w:rsid w:val="0077238F"/>
    <w:rsid w:val="008C2979"/>
    <w:rsid w:val="0096738F"/>
    <w:rsid w:val="00A511A7"/>
    <w:rsid w:val="00B15CB3"/>
    <w:rsid w:val="00B25051"/>
    <w:rsid w:val="00B566EE"/>
    <w:rsid w:val="00C8183A"/>
    <w:rsid w:val="00D61711"/>
    <w:rsid w:val="00D968B0"/>
    <w:rsid w:val="00DF38BD"/>
    <w:rsid w:val="00E3448D"/>
    <w:rsid w:val="00E92E9C"/>
    <w:rsid w:val="00F168F4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1FEA"/>
  <w15:docId w15:val="{7D5963C3-6E18-4536-8E52-8648BD5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BodyChar">
    <w:name w:val="Level 1 Body Char"/>
    <w:link w:val="Level1Body"/>
    <w:rsid w:val="0031296A"/>
    <w:rPr>
      <w:rFonts w:ascii="Arial" w:hAnsi="Arial"/>
      <w:color w:val="000000"/>
      <w:szCs w:val="24"/>
    </w:rPr>
  </w:style>
  <w:style w:type="paragraph" w:customStyle="1" w:styleId="14bldcentr">
    <w:name w:val="14 bld centr"/>
    <w:aliases w:val="rfp frm"/>
    <w:basedOn w:val="Normal"/>
    <w:rsid w:val="0031296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Level1Body">
    <w:name w:val="Level 1 Body"/>
    <w:basedOn w:val="Normal"/>
    <w:link w:val="Level1BodyChar"/>
    <w:rsid w:val="0031296A"/>
    <w:pPr>
      <w:spacing w:after="0" w:line="240" w:lineRule="auto"/>
      <w:jc w:val="both"/>
    </w:pPr>
    <w:rPr>
      <w:rFonts w:ascii="Arial" w:hAnsi="Arial"/>
      <w:color w:val="000000"/>
      <w:szCs w:val="24"/>
    </w:rPr>
  </w:style>
  <w:style w:type="paragraph" w:customStyle="1" w:styleId="Level3">
    <w:name w:val="Level 3"/>
    <w:link w:val="Level3Char"/>
    <w:rsid w:val="005A64B6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5A64B6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5A64B6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5A64B6"/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5A64B6"/>
    <w:pPr>
      <w:numPr>
        <w:numId w:val="2"/>
      </w:numPr>
      <w:spacing w:after="0" w:line="240" w:lineRule="auto"/>
      <w:ind w:left="440" w:firstLine="0"/>
      <w:jc w:val="both"/>
    </w:pPr>
    <w:rPr>
      <w:rFonts w:ascii="Arial" w:eastAsia="Times New Roman" w:hAnsi="Arial" w:cs="Times New Roman"/>
    </w:rPr>
  </w:style>
  <w:style w:type="paragraph" w:customStyle="1" w:styleId="Level5">
    <w:name w:val="Level 5"/>
    <w:basedOn w:val="Level4"/>
    <w:link w:val="Level5Char"/>
    <w:rsid w:val="005A64B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A64B6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5A64B6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5A64B6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5A64B6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5A64B6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rsid w:val="005A64B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paragraph" w:customStyle="1" w:styleId="Level4Body">
    <w:name w:val="Level 4 Body"/>
    <w:basedOn w:val="Normal"/>
    <w:rsid w:val="005A64B6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character" w:customStyle="1" w:styleId="Level2BodyChar">
    <w:name w:val="Level 2 Body Char"/>
    <w:link w:val="Level2Body"/>
    <w:rsid w:val="005A64B6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5A64B6"/>
    <w:pPr>
      <w:spacing w:after="0" w:line="240" w:lineRule="auto"/>
      <w:ind w:left="720"/>
      <w:jc w:val="both"/>
    </w:pPr>
    <w:rPr>
      <w:rFonts w:ascii="Arial" w:hAnsi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0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Fleming</dc:creator>
  <cp:lastModifiedBy>Caldwell, Sonya</cp:lastModifiedBy>
  <cp:revision>15</cp:revision>
  <cp:lastPrinted>2016-03-09T16:31:00Z</cp:lastPrinted>
  <dcterms:created xsi:type="dcterms:W3CDTF">2016-02-19T19:00:00Z</dcterms:created>
  <dcterms:modified xsi:type="dcterms:W3CDTF">2018-03-20T16:37:00Z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-865845312</vt:i4>
  </property>
  <property fmtid="{D5CDD505-2E9C-101B-9397-08002B2CF9AE}" pid="3" name="_NewReviewCycle">
    <vt:lpwstr/>
  </property>
  <property fmtid="{D5CDD505-2E9C-101B-9397-08002B2CF9AE}" pid="4" name="_EmailSubject">
    <vt:lpwstr>78503 O5 Organ/Tissue Campaign</vt:lpwstr>
  </property>
  <property fmtid="{D5CDD505-2E9C-101B-9397-08002B2CF9AE}" pid="5" name="_AuthorEmail">
    <vt:lpwstr>Monica.Pribil@nebraska.gov</vt:lpwstr>
  </property>
  <property fmtid="{D5CDD505-2E9C-101B-9397-08002B2CF9AE}" pid="6" name="_AuthorEmailDisplayName">
    <vt:lpwstr>Pribil, Monica</vt:lpwstr>
  </property>
  <property fmtid="{D5CDD505-2E9C-101B-9397-08002B2CF9AE}" pid="7" name="_ReviewingToolsShownOnce">
    <vt:lpwstr/>
  </property>
</Properties>
</file>